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E9FCCE">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880" w:firstLineChars="200"/>
        <w:jc w:val="center"/>
        <w:textAlignment w:val="auto"/>
        <w:rPr>
          <w:rFonts w:hint="default" w:ascii="Times New Roman" w:hAnsi="Times New Roman" w:cs="Times New Roman" w:eastAsiaTheme="majorEastAsia"/>
          <w:sz w:val="44"/>
          <w:szCs w:val="44"/>
          <w:lang w:val="en-US" w:eastAsia="zh-CN"/>
        </w:rPr>
      </w:pPr>
      <w:r>
        <w:rPr>
          <w:rFonts w:hint="default" w:ascii="Times New Roman" w:hAnsi="Times New Roman" w:cs="Times New Roman" w:eastAsiaTheme="majorEastAsia"/>
          <w:sz w:val="44"/>
          <w:szCs w:val="44"/>
          <w:lang w:val="en-US" w:eastAsia="zh-CN"/>
        </w:rPr>
        <w:t>苏州大学研究生2026版培养手册修订说明及使用指南</w:t>
      </w:r>
    </w:p>
    <w:p w14:paraId="3DB2341A">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苏州大学研究生培养手册》是我校研究生培养的基本依据，是记载留存研究生在校期间学习过程的重要档案文件。然而，随着信息技术的飞速发展以及研究生教育教学管理系统（以下简称管理系统）的升级完善，以往的研究生培养手册在使用、管理、存档等方面的弊端愈发突出。重复审批签字、冗杂信息过多、</w:t>
      </w:r>
      <w:bookmarkStart w:id="0" w:name="_GoBack"/>
      <w:bookmarkEnd w:id="0"/>
      <w:r>
        <w:rPr>
          <w:rFonts w:hint="default" w:ascii="Times New Roman" w:hAnsi="Times New Roman" w:cs="Times New Roman"/>
          <w:sz w:val="21"/>
          <w:szCs w:val="21"/>
          <w:lang w:val="en-US" w:eastAsia="zh-CN"/>
        </w:rPr>
        <w:t>档案整理不规范等问题已严重影响了培养手册的体验。</w:t>
      </w:r>
    </w:p>
    <w:p w14:paraId="4C36535A">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为了响应师生对研究生培养手册的实际需求，实现培养手册电子化存档的目标，研究生院基于不改变使用习惯、不增加档案整理负担、不影响存档质量这</w:t>
      </w:r>
      <w:r>
        <w:rPr>
          <w:rFonts w:hint="eastAsia" w:ascii="Times New Roman" w:hAnsi="Times New Roman" w:cs="Times New Roman"/>
          <w:sz w:val="21"/>
          <w:szCs w:val="21"/>
          <w:lang w:val="en-US" w:eastAsia="zh-CN"/>
        </w:rPr>
        <w:t>项具体</w:t>
      </w:r>
      <w:r>
        <w:rPr>
          <w:rFonts w:hint="default" w:ascii="Times New Roman" w:hAnsi="Times New Roman" w:cs="Times New Roman"/>
          <w:sz w:val="21"/>
          <w:szCs w:val="21"/>
          <w:lang w:val="en-US" w:eastAsia="zh-CN"/>
        </w:rPr>
        <w:t>三个原则，优化调整了管理系统研究生各培养环节的信息录入方式，重新设计了2026版研究生培养手册，并实现管理系统的培养手册电子档案的一键导出。</w:t>
      </w:r>
    </w:p>
    <w:p w14:paraId="3CD4B6C4">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现就2026版研究生培养手册的优化调整思路、具体调整内容以及如何使用作如下说明：</w:t>
      </w:r>
    </w:p>
    <w:p w14:paraId="308B477E">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2" w:firstLineChars="200"/>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一、调整思路：</w:t>
      </w:r>
    </w:p>
    <w:p w14:paraId="727CFBB5">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1.删除与学位申请书重复的一些板块；</w:t>
      </w:r>
    </w:p>
    <w:p w14:paraId="314CE8E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2.删除与培养手册无关的一些内容；</w:t>
      </w:r>
    </w:p>
    <w:p w14:paraId="789726D5">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3.减少研究生、导师、学位评定分委会签字；</w:t>
      </w:r>
    </w:p>
    <w:p w14:paraId="5FFF3213">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4.解决因考核表丢失需补签字的问题；</w:t>
      </w:r>
    </w:p>
    <w:p w14:paraId="79258C7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5.解决粘贴、加页、漏页等档案整理问题；</w:t>
      </w:r>
    </w:p>
    <w:p w14:paraId="353177D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6.统一开题、中期、预答辩等考核表的模板；</w:t>
      </w:r>
    </w:p>
    <w:p w14:paraId="563FB674">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7.增强培养手册与管理系统内容匹配度；</w:t>
      </w:r>
    </w:p>
    <w:p w14:paraId="3DBA86AC">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8.增加培养手册真实性承诺。</w:t>
      </w:r>
    </w:p>
    <w:p w14:paraId="11A7D0FB">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2" w:firstLineChars="200"/>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二、具体调整内容：</w:t>
      </w:r>
    </w:p>
    <w:p w14:paraId="2D2E60E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1.统一研究生培养手册版本，统一开题、中期、预答辩等培养环节考核表。逐步取代当前各基层研究</w:t>
      </w:r>
      <w:r>
        <w:rPr>
          <w:rFonts w:hint="eastAsia" w:ascii="Times New Roman" w:hAnsi="Times New Roman" w:cs="Times New Roman"/>
          <w:sz w:val="21"/>
          <w:szCs w:val="21"/>
          <w:lang w:val="en-US" w:eastAsia="zh-CN"/>
        </w:rPr>
        <w:t>生</w:t>
      </w:r>
      <w:r>
        <w:rPr>
          <w:rFonts w:hint="default" w:ascii="Times New Roman" w:hAnsi="Times New Roman" w:cs="Times New Roman"/>
          <w:sz w:val="21"/>
          <w:szCs w:val="21"/>
          <w:lang w:val="en-US" w:eastAsia="zh-CN"/>
        </w:rPr>
        <w:t>培养单位在用的其他版本培养手册，统一使用2026年新版研究生培养手册。下载方式分为两种：（1）管理系统中培养环节完成情况栏（推荐）；（2）研究生院官网—质量监督—过程管理（线下使用）；</w:t>
      </w:r>
    </w:p>
    <w:p w14:paraId="4213CEA0">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2.删除重复内容，删除与培养手册无关的一些内容。删除了基本情况中奖惩、社会兼职、家庭成员、主要社会关系等与培养过程无关或使用频率较低的内容，使之不在培养手册中体现。删除了培养计划中科学研究培养计划这一需要内容拼接或另行补录的内容。删除了盲审评阅情况、学位论文答辩等与学位申请书重复的内容。</w:t>
      </w:r>
    </w:p>
    <w:p w14:paraId="6F3FA9E9">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3.减少研究生、导师、学位评定分委会等重复审批签字。凡经过管理系统线上审核的事务流程，将取消纸质版培养手册签字，统一采用管理系统中的审批状态进行认证。</w:t>
      </w:r>
    </w:p>
    <w:p w14:paraId="42FC4BD9">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4.实现核心决议材料线上备案。将开题评议表、中期考核评定表、预答辩情况记录表及专业实践考核表等带有专家小组签字的考核决议材料单列出来，作为最终提交时的必要材料扫描上传管理系统，以解决考核表丢失需补签字的问题。</w:t>
      </w:r>
    </w:p>
    <w:p w14:paraId="2FD341C0">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5.新增培养手册检查与审核，解决档案整理问题，增加可信度。检查与审核包含完整度检查、研究生本人承诺、导师及培养单位接收人审核四个内容，保证了培养手册的内容完成度及信息可信度。</w:t>
      </w:r>
    </w:p>
    <w:p w14:paraId="70F4C556">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6.其他调整：更新填写规范内容，新增开题、中期决议表导师复核内容，新增论文开题选题来源字段，新增中期考核后续研究计划及预期进度情况字段，重新梳理培养手册各部分的序号，优化培养手册的表格显示及页眉页脚显示，进一步增加培养手册与管理系统的匹配度。</w:t>
      </w:r>
    </w:p>
    <w:p w14:paraId="53C628EC">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2" w:firstLineChars="200"/>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三、如何使用新版培养手册：</w:t>
      </w:r>
    </w:p>
    <w:p w14:paraId="5D47AA5F">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在校</w:t>
      </w:r>
      <w:r>
        <w:rPr>
          <w:rFonts w:hint="default" w:ascii="Times New Roman" w:hAnsi="Times New Roman" w:cs="Times New Roman"/>
          <w:sz w:val="21"/>
          <w:szCs w:val="21"/>
          <w:lang w:val="en-US" w:eastAsia="zh-CN"/>
        </w:rPr>
        <w:t>研究生</w:t>
      </w:r>
      <w:r>
        <w:rPr>
          <w:rFonts w:hint="eastAsia" w:ascii="Times New Roman" w:hAnsi="Times New Roman" w:cs="Times New Roman"/>
          <w:sz w:val="21"/>
          <w:szCs w:val="21"/>
          <w:lang w:val="en-US" w:eastAsia="zh-CN"/>
        </w:rPr>
        <w:t>需</w:t>
      </w:r>
      <w:r>
        <w:rPr>
          <w:rFonts w:hint="default" w:ascii="Times New Roman" w:hAnsi="Times New Roman" w:cs="Times New Roman"/>
          <w:sz w:val="21"/>
          <w:szCs w:val="21"/>
          <w:lang w:val="en-US" w:eastAsia="zh-CN"/>
        </w:rPr>
        <w:t>统一使用新版本培养手册</w:t>
      </w:r>
      <w:r>
        <w:rPr>
          <w:rFonts w:hint="eastAsia" w:ascii="Times New Roman" w:hAnsi="Times New Roman" w:cs="Times New Roman"/>
          <w:sz w:val="21"/>
          <w:szCs w:val="21"/>
          <w:lang w:val="en-US" w:eastAsia="zh-CN"/>
        </w:rPr>
        <w:t>，2025级及之前入学的研究生仍可选择使用原先的培养手册（不推荐）</w:t>
      </w:r>
      <w:r>
        <w:rPr>
          <w:rFonts w:hint="default" w:ascii="Times New Roman" w:hAnsi="Times New Roman" w:cs="Times New Roman"/>
          <w:sz w:val="21"/>
          <w:szCs w:val="21"/>
          <w:lang w:val="en-US" w:eastAsia="zh-CN"/>
        </w:rPr>
        <w:t>。</w:t>
      </w:r>
    </w:p>
    <w:p w14:paraId="3624C3DE">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研究生需根据管理系统中开题、中期、预答辩、专业实践等培养环节的使用指南或提醒，使用并扫描上传统一的决议表。待培养环节全部完成后，可点击下载新版培养手册（压缩包），进行如下检查和调整：</w:t>
      </w:r>
    </w:p>
    <w:p w14:paraId="2E741658">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80" w:firstLineChars="200"/>
        <w:textAlignment w:val="auto"/>
        <w:rPr>
          <w:rFonts w:hint="eastAsia" w:ascii="黑体" w:hAnsi="黑体" w:eastAsia="黑体" w:cs="黑体"/>
          <w:b w:val="0"/>
          <w:bCs w:val="0"/>
          <w:sz w:val="24"/>
          <w:szCs w:val="24"/>
          <w:lang w:val="en-US" w:eastAsia="zh-CN"/>
        </w:rPr>
      </w:pPr>
      <w:r>
        <w:rPr>
          <w:rFonts w:hint="eastAsia" w:ascii="黑体" w:hAnsi="黑体" w:eastAsia="黑体" w:cs="黑体"/>
          <w:b w:val="0"/>
          <w:bCs w:val="0"/>
          <w:sz w:val="24"/>
          <w:szCs w:val="24"/>
          <w:lang w:val="en-US" w:eastAsia="zh-CN"/>
        </w:rPr>
        <w:t>1.检查新版培养手册（压缩包）内容是否完整。</w:t>
      </w:r>
    </w:p>
    <w:p w14:paraId="26B75367">
      <w:pPr>
        <w:pStyle w:val="3"/>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jc w:val="center"/>
        <w:textAlignment w:val="auto"/>
        <w:rPr>
          <w:rFonts w:hint="default" w:ascii="Times New Roman" w:hAnsi="Times New Roman" w:cs="Times New Roman"/>
          <w:sz w:val="21"/>
          <w:szCs w:val="21"/>
          <w:lang w:val="en-US" w:eastAsia="zh-CN"/>
        </w:rPr>
      </w:pPr>
      <w:r>
        <w:rPr>
          <w:rFonts w:hint="default" w:ascii="Times New Roman" w:hAnsi="Times New Roman" w:cs="Times New Roman"/>
          <w:b/>
          <w:bCs/>
          <w:sz w:val="21"/>
          <w:szCs w:val="21"/>
          <w:lang w:val="en-US" w:eastAsia="zh-CN"/>
        </w:rPr>
        <w:t>表1 新版培养手册（压缩包）内容</w:t>
      </w:r>
    </w:p>
    <w:tbl>
      <w:tblPr>
        <w:tblStyle w:val="5"/>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6"/>
        <w:gridCol w:w="1312"/>
        <w:gridCol w:w="1312"/>
        <w:gridCol w:w="1312"/>
        <w:gridCol w:w="1312"/>
        <w:gridCol w:w="1313"/>
      </w:tblGrid>
      <w:tr w14:paraId="38D96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8" w:type="pct"/>
            <w:tcBorders>
              <w:top w:val="single" w:color="000000" w:sz="12" w:space="0"/>
              <w:left w:val="nil"/>
              <w:bottom w:val="single" w:color="000000" w:sz="4" w:space="0"/>
              <w:right w:val="nil"/>
              <w:tl2br w:val="nil"/>
            </w:tcBorders>
            <w:shd w:val="clear" w:color="auto" w:fill="FFFFFF"/>
            <w:vAlign w:val="center"/>
          </w:tcPr>
          <w:p w14:paraId="07319F1D">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学生类型</w:t>
            </w:r>
          </w:p>
        </w:tc>
        <w:tc>
          <w:tcPr>
            <w:tcW w:w="770" w:type="pct"/>
            <w:tcBorders>
              <w:top w:val="single" w:color="000000" w:sz="12" w:space="0"/>
              <w:left w:val="nil"/>
              <w:bottom w:val="single" w:color="000000" w:sz="4" w:space="0"/>
              <w:right w:val="nil"/>
            </w:tcBorders>
            <w:shd w:val="clear" w:color="auto" w:fill="FFFFFF"/>
            <w:vAlign w:val="center"/>
          </w:tcPr>
          <w:p w14:paraId="2584CE29">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eastAsia" w:ascii="Times New Roman" w:hAnsi="Times New Roman" w:eastAsia="宋体" w:cs="Times New Roman"/>
                <w:b w:val="0"/>
                <w:bCs/>
                <w:color w:val="000000"/>
                <w:sz w:val="18"/>
                <w:szCs w:val="18"/>
                <w:vertAlign w:val="baseline"/>
                <w:lang w:val="en-US" w:eastAsia="zh-CN"/>
              </w:rPr>
              <w:t>培养手册</w:t>
            </w:r>
          </w:p>
        </w:tc>
        <w:tc>
          <w:tcPr>
            <w:tcW w:w="1312" w:type="dxa"/>
            <w:tcBorders>
              <w:top w:val="single" w:color="000000" w:sz="12" w:space="0"/>
              <w:left w:val="nil"/>
              <w:bottom w:val="single" w:color="000000" w:sz="4" w:space="0"/>
              <w:right w:val="nil"/>
            </w:tcBorders>
            <w:shd w:val="clear" w:color="auto" w:fill="FFFFFF"/>
            <w:vAlign w:val="center"/>
          </w:tcPr>
          <w:p w14:paraId="4E078B2F">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论文开题</w:t>
            </w:r>
          </w:p>
          <w:p w14:paraId="4760FCBE">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评议表</w:t>
            </w:r>
          </w:p>
        </w:tc>
        <w:tc>
          <w:tcPr>
            <w:tcW w:w="1312" w:type="dxa"/>
            <w:tcBorders>
              <w:top w:val="single" w:color="000000" w:sz="12" w:space="0"/>
              <w:left w:val="nil"/>
              <w:bottom w:val="single" w:color="000000" w:sz="4" w:space="0"/>
              <w:right w:val="nil"/>
            </w:tcBorders>
            <w:shd w:val="clear" w:color="auto" w:fill="FFFFFF"/>
            <w:vAlign w:val="center"/>
          </w:tcPr>
          <w:p w14:paraId="00AA64B0">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中期考核</w:t>
            </w:r>
          </w:p>
          <w:p w14:paraId="7C497B49">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评定表</w:t>
            </w:r>
          </w:p>
        </w:tc>
        <w:tc>
          <w:tcPr>
            <w:tcW w:w="1312" w:type="dxa"/>
            <w:tcBorders>
              <w:top w:val="single" w:color="000000" w:sz="12" w:space="0"/>
              <w:left w:val="nil"/>
              <w:bottom w:val="single" w:color="000000" w:sz="4" w:space="0"/>
              <w:right w:val="nil"/>
            </w:tcBorders>
            <w:shd w:val="clear" w:color="auto" w:fill="FFFFFF"/>
            <w:vAlign w:val="center"/>
          </w:tcPr>
          <w:p w14:paraId="78AC76D3">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预答辩情况</w:t>
            </w:r>
          </w:p>
          <w:p w14:paraId="589DE0C5">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记录表</w:t>
            </w:r>
          </w:p>
        </w:tc>
        <w:tc>
          <w:tcPr>
            <w:tcW w:w="1313" w:type="dxa"/>
            <w:tcBorders>
              <w:top w:val="single" w:color="000000" w:sz="12" w:space="0"/>
              <w:left w:val="nil"/>
              <w:bottom w:val="single" w:color="000000" w:sz="4" w:space="0"/>
              <w:right w:val="nil"/>
            </w:tcBorders>
            <w:shd w:val="clear" w:color="auto" w:fill="FFFFFF"/>
            <w:vAlign w:val="center"/>
          </w:tcPr>
          <w:p w14:paraId="649D2F93">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专业实践</w:t>
            </w:r>
          </w:p>
          <w:p w14:paraId="0B23D0E8">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bCs/>
                <w:color w:val="000000"/>
                <w:sz w:val="18"/>
                <w:szCs w:val="18"/>
                <w:vertAlign w:val="baseline"/>
                <w:lang w:val="en-US" w:eastAsia="zh-CN"/>
              </w:rPr>
            </w:pPr>
            <w:r>
              <w:rPr>
                <w:rFonts w:hint="default" w:ascii="Times New Roman" w:hAnsi="Times New Roman" w:eastAsia="宋体" w:cs="Times New Roman"/>
                <w:b w:val="0"/>
                <w:bCs/>
                <w:color w:val="000000"/>
                <w:sz w:val="18"/>
                <w:szCs w:val="18"/>
                <w:vertAlign w:val="baseline"/>
                <w:lang w:val="en-US" w:eastAsia="zh-CN"/>
              </w:rPr>
              <w:t>考核表</w:t>
            </w:r>
          </w:p>
        </w:tc>
      </w:tr>
      <w:tr w14:paraId="162B1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1148" w:type="pct"/>
            <w:tcBorders>
              <w:top w:val="single" w:color="000000" w:sz="4" w:space="0"/>
              <w:left w:val="nil"/>
              <w:bottom w:val="nil"/>
              <w:right w:val="nil"/>
            </w:tcBorders>
            <w:shd w:val="clear" w:color="auto" w:fill="FFFFFF"/>
            <w:vAlign w:val="center"/>
          </w:tcPr>
          <w:p w14:paraId="033B244A">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lang w:val="en-US" w:eastAsia="zh-CN"/>
              </w:rPr>
            </w:pPr>
            <w:r>
              <w:rPr>
                <w:rFonts w:hint="default" w:ascii="Times New Roman" w:hAnsi="Times New Roman" w:eastAsia="宋体" w:cs="Times New Roman"/>
                <w:b w:val="0"/>
                <w:color w:val="000000"/>
                <w:sz w:val="18"/>
                <w:szCs w:val="18"/>
                <w:vertAlign w:val="baseline"/>
                <w:lang w:val="en-US" w:eastAsia="zh-CN"/>
              </w:rPr>
              <w:t>学术型博士</w:t>
            </w:r>
          </w:p>
        </w:tc>
        <w:tc>
          <w:tcPr>
            <w:tcW w:w="770" w:type="pct"/>
            <w:tcBorders>
              <w:top w:val="single" w:color="000000" w:sz="4" w:space="0"/>
              <w:left w:val="nil"/>
              <w:bottom w:val="nil"/>
              <w:right w:val="nil"/>
            </w:tcBorders>
            <w:shd w:val="clear" w:color="auto" w:fill="FFFFFF"/>
            <w:vAlign w:val="center"/>
          </w:tcPr>
          <w:p w14:paraId="61C52A4C">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single" w:color="000000" w:sz="4" w:space="0"/>
              <w:left w:val="nil"/>
              <w:bottom w:val="nil"/>
              <w:right w:val="nil"/>
            </w:tcBorders>
            <w:shd w:val="clear" w:color="auto" w:fill="FFFFFF"/>
            <w:vAlign w:val="center"/>
          </w:tcPr>
          <w:p w14:paraId="6453FAA4">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single" w:color="000000" w:sz="4" w:space="0"/>
              <w:left w:val="nil"/>
              <w:bottom w:val="nil"/>
              <w:right w:val="nil"/>
            </w:tcBorders>
            <w:shd w:val="clear" w:color="auto" w:fill="FFFFFF"/>
            <w:vAlign w:val="center"/>
          </w:tcPr>
          <w:p w14:paraId="41D17B48">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single" w:color="000000" w:sz="4" w:space="0"/>
              <w:left w:val="nil"/>
              <w:bottom w:val="nil"/>
              <w:right w:val="nil"/>
            </w:tcBorders>
            <w:shd w:val="clear" w:color="auto" w:fill="FFFFFF"/>
            <w:vAlign w:val="center"/>
          </w:tcPr>
          <w:p w14:paraId="333EA59B">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3" w:type="dxa"/>
            <w:tcBorders>
              <w:top w:val="single" w:color="000000" w:sz="4" w:space="0"/>
              <w:left w:val="nil"/>
              <w:bottom w:val="nil"/>
              <w:right w:val="nil"/>
            </w:tcBorders>
            <w:shd w:val="clear" w:color="auto" w:fill="FFFFFF"/>
            <w:vAlign w:val="center"/>
          </w:tcPr>
          <w:p w14:paraId="1A674767">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p>
        </w:tc>
      </w:tr>
      <w:tr w14:paraId="24489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1148" w:type="pct"/>
            <w:tcBorders>
              <w:top w:val="nil"/>
              <w:left w:val="nil"/>
              <w:bottom w:val="nil"/>
              <w:right w:val="nil"/>
            </w:tcBorders>
            <w:shd w:val="clear" w:color="auto" w:fill="FFFFFF"/>
            <w:vAlign w:val="center"/>
          </w:tcPr>
          <w:p w14:paraId="23828CE6">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lang w:val="en-US" w:eastAsia="zh-CN"/>
              </w:rPr>
            </w:pPr>
            <w:r>
              <w:rPr>
                <w:rFonts w:hint="default" w:ascii="Times New Roman" w:hAnsi="Times New Roman" w:eastAsia="宋体" w:cs="Times New Roman"/>
                <w:b w:val="0"/>
                <w:color w:val="000000"/>
                <w:sz w:val="18"/>
                <w:szCs w:val="18"/>
                <w:vertAlign w:val="baseline"/>
                <w:lang w:val="en-US" w:eastAsia="zh-CN"/>
              </w:rPr>
              <w:t>专业型博士</w:t>
            </w:r>
          </w:p>
        </w:tc>
        <w:tc>
          <w:tcPr>
            <w:tcW w:w="770" w:type="pct"/>
            <w:tcBorders>
              <w:top w:val="nil"/>
              <w:left w:val="nil"/>
              <w:bottom w:val="nil"/>
              <w:right w:val="nil"/>
            </w:tcBorders>
            <w:shd w:val="clear" w:color="auto" w:fill="FFFFFF"/>
            <w:vAlign w:val="center"/>
          </w:tcPr>
          <w:p w14:paraId="15B3EF3C">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10B3B0F5">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08B707A4">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55A42265">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3" w:type="dxa"/>
            <w:tcBorders>
              <w:top w:val="nil"/>
              <w:left w:val="nil"/>
              <w:bottom w:val="nil"/>
              <w:right w:val="nil"/>
            </w:tcBorders>
            <w:shd w:val="clear" w:color="auto" w:fill="FFFFFF"/>
            <w:vAlign w:val="center"/>
          </w:tcPr>
          <w:p w14:paraId="258DA047">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r>
      <w:tr w14:paraId="1741D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1148" w:type="pct"/>
            <w:tcBorders>
              <w:top w:val="nil"/>
              <w:left w:val="nil"/>
              <w:bottom w:val="nil"/>
              <w:right w:val="nil"/>
            </w:tcBorders>
            <w:shd w:val="clear" w:color="auto" w:fill="FFFFFF"/>
            <w:vAlign w:val="center"/>
          </w:tcPr>
          <w:p w14:paraId="6A269CDF">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lang w:val="en-US" w:eastAsia="zh-CN"/>
              </w:rPr>
            </w:pPr>
            <w:r>
              <w:rPr>
                <w:rFonts w:hint="default" w:ascii="Times New Roman" w:hAnsi="Times New Roman" w:eastAsia="宋体" w:cs="Times New Roman"/>
                <w:b w:val="0"/>
                <w:color w:val="000000"/>
                <w:sz w:val="18"/>
                <w:szCs w:val="18"/>
                <w:vertAlign w:val="baseline"/>
                <w:lang w:val="en-US" w:eastAsia="zh-CN"/>
              </w:rPr>
              <w:t>在职临床医学博士</w:t>
            </w:r>
          </w:p>
        </w:tc>
        <w:tc>
          <w:tcPr>
            <w:tcW w:w="770" w:type="pct"/>
            <w:tcBorders>
              <w:top w:val="nil"/>
              <w:left w:val="nil"/>
              <w:bottom w:val="nil"/>
              <w:right w:val="nil"/>
            </w:tcBorders>
            <w:shd w:val="clear" w:color="auto" w:fill="FFFFFF"/>
            <w:vAlign w:val="center"/>
          </w:tcPr>
          <w:p w14:paraId="7AD1D5D9">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7664F5B6">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78EC44CA">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35BCC682">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3" w:type="dxa"/>
            <w:tcBorders>
              <w:top w:val="nil"/>
              <w:left w:val="nil"/>
              <w:bottom w:val="nil"/>
              <w:right w:val="nil"/>
            </w:tcBorders>
            <w:shd w:val="clear" w:color="auto" w:fill="FFFFFF"/>
            <w:vAlign w:val="center"/>
          </w:tcPr>
          <w:p w14:paraId="31773974">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r>
      <w:tr w14:paraId="21F93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1148" w:type="pct"/>
            <w:tcBorders>
              <w:top w:val="nil"/>
              <w:left w:val="nil"/>
              <w:bottom w:val="nil"/>
              <w:right w:val="nil"/>
            </w:tcBorders>
            <w:shd w:val="clear" w:color="auto" w:fill="FFFFFF"/>
            <w:vAlign w:val="center"/>
          </w:tcPr>
          <w:p w14:paraId="0395A0A0">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lang w:val="en-US" w:eastAsia="zh-CN"/>
              </w:rPr>
            </w:pPr>
            <w:r>
              <w:rPr>
                <w:rFonts w:hint="default" w:ascii="Times New Roman" w:hAnsi="Times New Roman" w:eastAsia="宋体" w:cs="Times New Roman"/>
                <w:b w:val="0"/>
                <w:color w:val="000000"/>
                <w:sz w:val="18"/>
                <w:szCs w:val="18"/>
                <w:vertAlign w:val="baseline"/>
                <w:lang w:val="en-US" w:eastAsia="zh-CN"/>
              </w:rPr>
              <w:t>学术型硕士</w:t>
            </w:r>
          </w:p>
        </w:tc>
        <w:tc>
          <w:tcPr>
            <w:tcW w:w="770" w:type="pct"/>
            <w:tcBorders>
              <w:top w:val="nil"/>
              <w:left w:val="nil"/>
              <w:bottom w:val="nil"/>
              <w:right w:val="nil"/>
            </w:tcBorders>
            <w:shd w:val="clear" w:color="auto" w:fill="FFFFFF"/>
            <w:vAlign w:val="center"/>
          </w:tcPr>
          <w:p w14:paraId="648BC00B">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57F5F19D">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493659DD">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nil"/>
              <w:right w:val="nil"/>
            </w:tcBorders>
            <w:shd w:val="clear" w:color="auto" w:fill="FFFFFF"/>
            <w:vAlign w:val="center"/>
          </w:tcPr>
          <w:p w14:paraId="6D3D7F55">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p>
        </w:tc>
        <w:tc>
          <w:tcPr>
            <w:tcW w:w="1313" w:type="dxa"/>
            <w:tcBorders>
              <w:top w:val="nil"/>
              <w:left w:val="nil"/>
              <w:bottom w:val="nil"/>
              <w:right w:val="nil"/>
            </w:tcBorders>
            <w:shd w:val="clear" w:color="auto" w:fill="FFFFFF"/>
            <w:vAlign w:val="center"/>
          </w:tcPr>
          <w:p w14:paraId="582C9E72">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p>
        </w:tc>
      </w:tr>
      <w:tr w14:paraId="32BF1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1148" w:type="pct"/>
            <w:tcBorders>
              <w:top w:val="nil"/>
              <w:left w:val="nil"/>
              <w:bottom w:val="single" w:color="000000" w:sz="12" w:space="0"/>
              <w:right w:val="nil"/>
            </w:tcBorders>
            <w:shd w:val="clear" w:color="auto" w:fill="FFFFFF"/>
            <w:vAlign w:val="center"/>
          </w:tcPr>
          <w:p w14:paraId="1F01D3C4">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lang w:val="en-US" w:eastAsia="zh-CN"/>
              </w:rPr>
            </w:pPr>
            <w:r>
              <w:rPr>
                <w:rFonts w:hint="default" w:ascii="Times New Roman" w:hAnsi="Times New Roman" w:eastAsia="宋体" w:cs="Times New Roman"/>
                <w:b w:val="0"/>
                <w:color w:val="000000"/>
                <w:sz w:val="18"/>
                <w:szCs w:val="18"/>
                <w:vertAlign w:val="baseline"/>
                <w:lang w:val="en-US" w:eastAsia="zh-CN"/>
              </w:rPr>
              <w:t>专业型硕士</w:t>
            </w:r>
          </w:p>
        </w:tc>
        <w:tc>
          <w:tcPr>
            <w:tcW w:w="770" w:type="pct"/>
            <w:tcBorders>
              <w:top w:val="nil"/>
              <w:left w:val="nil"/>
              <w:bottom w:val="single" w:color="000000" w:sz="12" w:space="0"/>
              <w:right w:val="nil"/>
            </w:tcBorders>
            <w:shd w:val="clear" w:color="auto" w:fill="FFFFFF"/>
            <w:vAlign w:val="center"/>
          </w:tcPr>
          <w:p w14:paraId="2E35B295">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single" w:color="000000" w:sz="12" w:space="0"/>
              <w:right w:val="nil"/>
            </w:tcBorders>
            <w:shd w:val="clear" w:color="auto" w:fill="FFFFFF"/>
            <w:vAlign w:val="center"/>
          </w:tcPr>
          <w:p w14:paraId="489115D1">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single" w:color="000000" w:sz="12" w:space="0"/>
              <w:right w:val="nil"/>
            </w:tcBorders>
            <w:shd w:val="clear" w:color="auto" w:fill="FFFFFF"/>
            <w:vAlign w:val="center"/>
          </w:tcPr>
          <w:p w14:paraId="263523E9">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c>
          <w:tcPr>
            <w:tcW w:w="1312" w:type="dxa"/>
            <w:tcBorders>
              <w:top w:val="nil"/>
              <w:left w:val="nil"/>
              <w:bottom w:val="single" w:color="000000" w:sz="12" w:space="0"/>
              <w:right w:val="nil"/>
            </w:tcBorders>
            <w:shd w:val="clear" w:color="auto" w:fill="FFFFFF"/>
            <w:vAlign w:val="center"/>
          </w:tcPr>
          <w:p w14:paraId="5E34F3B8">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p>
        </w:tc>
        <w:tc>
          <w:tcPr>
            <w:tcW w:w="1313" w:type="dxa"/>
            <w:tcBorders>
              <w:top w:val="nil"/>
              <w:left w:val="nil"/>
              <w:bottom w:val="single" w:color="000000" w:sz="12" w:space="0"/>
              <w:right w:val="nil"/>
            </w:tcBorders>
            <w:shd w:val="clear" w:color="auto" w:fill="FFFFFF"/>
            <w:vAlign w:val="center"/>
          </w:tcPr>
          <w:p w14:paraId="709AA5F0">
            <w:pPr>
              <w:keepNext w:val="0"/>
              <w:keepLines w:val="0"/>
              <w:pageBreakBefore w:val="0"/>
              <w:widowControl w:val="0"/>
              <w:kinsoku/>
              <w:wordWrap/>
              <w:overflowPunct/>
              <w:topLinePunct w:val="0"/>
              <w:autoSpaceDE/>
              <w:autoSpaceDN/>
              <w:bidi w:val="0"/>
              <w:adjustRightInd/>
              <w:snapToGrid/>
              <w:spacing w:beforeAutospacing="0" w:afterAutospacing="0" w:line="300" w:lineRule="exact"/>
              <w:jc w:val="center"/>
              <w:textAlignment w:val="auto"/>
              <w:rPr>
                <w:rFonts w:hint="default" w:ascii="Times New Roman" w:hAnsi="Times New Roman" w:eastAsia="宋体" w:cs="Times New Roman"/>
                <w:b w:val="0"/>
                <w:color w:val="000000"/>
                <w:sz w:val="18"/>
                <w:szCs w:val="18"/>
                <w:vertAlign w:val="baseline"/>
              </w:rPr>
            </w:pPr>
            <w:r>
              <w:rPr>
                <w:rFonts w:hint="default" w:ascii="Times New Roman" w:hAnsi="Times New Roman" w:eastAsia="宋体" w:cs="Times New Roman"/>
                <w:b w:val="0"/>
                <w:color w:val="000000"/>
                <w:sz w:val="18"/>
                <w:szCs w:val="18"/>
                <w:vertAlign w:val="baseline"/>
              </w:rPr>
              <w:t>√</w:t>
            </w:r>
          </w:p>
        </w:tc>
      </w:tr>
    </w:tbl>
    <w:p w14:paraId="3B4E0EF7">
      <w:pPr>
        <w:pStyle w:val="3"/>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400" w:lineRule="exact"/>
        <w:ind w:leftChars="0" w:right="0" w:rightChars="0" w:firstLine="420" w:firstLineChars="200"/>
        <w:jc w:val="both"/>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注：如出现相关环节的决议表缺失或内容不全的情况，可能是因为未上传对应材料或上传材料不规范，需找到原文件替换。</w:t>
      </w:r>
    </w:p>
    <w:p w14:paraId="784C5A0B">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80" w:firstLineChars="200"/>
        <w:textAlignment w:val="auto"/>
        <w:rPr>
          <w:rFonts w:hint="default" w:ascii="黑体" w:hAnsi="黑体" w:eastAsia="黑体" w:cs="黑体"/>
          <w:b w:val="0"/>
          <w:bCs w:val="0"/>
          <w:sz w:val="24"/>
          <w:szCs w:val="24"/>
          <w:lang w:val="en-US" w:eastAsia="zh-CN"/>
        </w:rPr>
      </w:pPr>
      <w:r>
        <w:rPr>
          <w:rFonts w:hint="default" w:ascii="黑体" w:hAnsi="黑体" w:eastAsia="黑体" w:cs="黑体"/>
          <w:b w:val="0"/>
          <w:bCs w:val="0"/>
          <w:sz w:val="24"/>
          <w:szCs w:val="24"/>
          <w:lang w:val="en-US" w:eastAsia="zh-CN"/>
        </w:rPr>
        <w:t>2.检查培养手册是否存在内容空缺、表格错位、图片显示不全等问题，并进行调整。</w:t>
      </w:r>
    </w:p>
    <w:p w14:paraId="0270F0F9">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Times New Roman" w:hAnsi="Times New Roman" w:cs="Times New Roman"/>
          <w:sz w:val="21"/>
          <w:szCs w:val="21"/>
          <w:lang w:val="en-US" w:eastAsia="zh-CN"/>
        </w:rPr>
      </w:pPr>
      <w:r>
        <w:rPr>
          <w:rFonts w:hint="default" w:ascii="Times New Roman" w:hAnsi="Times New Roman" w:cs="Times New Roman"/>
          <w:sz w:val="21"/>
          <w:szCs w:val="21"/>
          <w:lang w:val="en-US" w:eastAsia="zh-CN"/>
        </w:rPr>
        <w:t>内容空缺除</w:t>
      </w:r>
      <w:r>
        <w:rPr>
          <w:rFonts w:hint="eastAsia" w:ascii="Times New Roman" w:hAnsi="Times New Roman" w:cs="Times New Roman"/>
          <w:sz w:val="21"/>
          <w:szCs w:val="21"/>
          <w:lang w:val="en-US" w:eastAsia="zh-CN"/>
        </w:rPr>
        <w:t>新增</w:t>
      </w:r>
      <w:r>
        <w:rPr>
          <w:rFonts w:hint="default" w:ascii="Times New Roman" w:hAnsi="Times New Roman" w:cs="Times New Roman"/>
          <w:sz w:val="21"/>
          <w:szCs w:val="21"/>
          <w:lang w:val="en-US" w:eastAsia="zh-CN"/>
        </w:rPr>
        <w:t>字段外，多数</w:t>
      </w:r>
      <w:r>
        <w:rPr>
          <w:rFonts w:hint="eastAsia" w:ascii="Times New Roman" w:hAnsi="Times New Roman" w:cs="Times New Roman"/>
          <w:sz w:val="21"/>
          <w:szCs w:val="21"/>
          <w:lang w:val="en-US" w:eastAsia="zh-CN"/>
        </w:rPr>
        <w:t>为</w:t>
      </w:r>
      <w:r>
        <w:rPr>
          <w:rFonts w:hint="default" w:ascii="Times New Roman" w:hAnsi="Times New Roman" w:cs="Times New Roman"/>
          <w:sz w:val="21"/>
          <w:szCs w:val="21"/>
          <w:lang w:val="en-US" w:eastAsia="zh-CN"/>
        </w:rPr>
        <w:t>非必填内容，可不予处理。</w:t>
      </w:r>
    </w:p>
    <w:p w14:paraId="118382B4">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宋体" w:hAnsi="宋体" w:cs="宋体"/>
          <w:sz w:val="32"/>
          <w:szCs w:val="32"/>
          <w:lang w:val="en-US" w:eastAsia="zh-CN"/>
        </w:rPr>
      </w:pPr>
      <w:r>
        <w:rPr>
          <w:rFonts w:hint="eastAsia" w:ascii="Times New Roman" w:hAnsi="Times New Roman" w:cs="Times New Roman"/>
          <w:sz w:val="21"/>
          <w:szCs w:val="21"/>
          <w:lang w:val="en-US" w:eastAsia="zh-CN"/>
        </w:rPr>
        <w:t>图表或文字显示问题均可以通过文本写作及图表格式调整来解决，需要特别注意的是调整后可能导致页码变动，需要在目录页更新页码。</w:t>
      </w:r>
    </w:p>
    <w:p w14:paraId="1BADAA21">
      <w:pPr>
        <w:rPr>
          <w:rFonts w:hint="default" w:ascii="宋体" w:hAnsi="宋体" w:cs="宋体"/>
          <w:sz w:val="21"/>
          <w:szCs w:val="21"/>
          <w:lang w:val="en-US" w:eastAsia="zh-CN"/>
        </w:rPr>
      </w:pPr>
      <w:r>
        <w:rPr>
          <w:rFonts w:hint="default" w:ascii="宋体" w:hAnsi="宋体" w:cs="宋体"/>
          <w:sz w:val="32"/>
          <w:szCs w:val="32"/>
          <w:lang w:val="en-US" w:eastAsia="zh-CN"/>
        </w:rPr>
        <w:br w:type="page"/>
      </w:r>
      <w:r>
        <w:rPr>
          <w:rFonts w:hint="eastAsia" w:ascii="宋体" w:hAnsi="宋体" w:cs="宋体"/>
          <w:sz w:val="24"/>
          <w:szCs w:val="24"/>
          <w:lang w:val="en-US" w:eastAsia="zh-CN"/>
        </w:rPr>
        <w:t>常见问题举例1——图表显示不全：</w:t>
      </w:r>
    </w:p>
    <w:p w14:paraId="11235C8D">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textAlignment w:val="auto"/>
        <w:rPr>
          <w:rFonts w:hint="default" w:ascii="宋体" w:hAnsi="宋体" w:cs="宋体"/>
          <w:sz w:val="32"/>
          <w:szCs w:val="32"/>
          <w:lang w:val="en-US" w:eastAsia="zh-CN"/>
        </w:rPr>
      </w:pPr>
      <w:r>
        <w:rPr>
          <w:rFonts w:hint="default" w:ascii="宋体" w:hAnsi="宋体" w:cs="宋体"/>
          <w:sz w:val="32"/>
          <w:szCs w:val="32"/>
          <w:lang w:val="en-US" w:eastAsia="zh-CN"/>
        </w:rPr>
        <w:drawing>
          <wp:inline distT="0" distB="0" distL="114300" distR="114300">
            <wp:extent cx="5267960" cy="3531235"/>
            <wp:effectExtent l="9525" t="9525" r="18415" b="21590"/>
            <wp:docPr id="1" name="图片 1" descr="培养手册_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培养手册_09(1)"/>
                    <pic:cNvPicPr>
                      <a:picLocks noChangeAspect="1"/>
                    </pic:cNvPicPr>
                  </pic:nvPicPr>
                  <pic:blipFill>
                    <a:blip r:embed="rId4"/>
                    <a:srcRect b="52615"/>
                    <a:stretch>
                      <a:fillRect/>
                    </a:stretch>
                  </pic:blipFill>
                  <pic:spPr>
                    <a:xfrm>
                      <a:off x="0" y="0"/>
                      <a:ext cx="5267960" cy="3531235"/>
                    </a:xfrm>
                    <a:prstGeom prst="rect">
                      <a:avLst/>
                    </a:prstGeom>
                    <a:noFill/>
                    <a:ln w="9525" cap="flat" cmpd="sng">
                      <a:solidFill>
                        <a:srgbClr val="0000FF"/>
                      </a:solidFill>
                      <a:prstDash val="solid"/>
                      <a:round/>
                      <a:headEnd type="none" w="med" len="med"/>
                      <a:tailEnd type="none" w="med" len="med"/>
                    </a:ln>
                  </pic:spPr>
                </pic:pic>
              </a:graphicData>
            </a:graphic>
          </wp:inline>
        </w:drawing>
      </w:r>
    </w:p>
    <w:p w14:paraId="3432F129">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图1 培养手册表格显示异常情况举例</w:t>
      </w:r>
    </w:p>
    <w:p w14:paraId="20E2830E">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ascii="宋体" w:hAnsi="宋体" w:cs="宋体"/>
          <w:sz w:val="21"/>
          <w:szCs w:val="21"/>
          <w:lang w:val="en-US" w:eastAsia="zh-CN"/>
        </w:rPr>
      </w:pPr>
      <w:r>
        <w:rPr>
          <w:rFonts w:hint="eastAsia" w:ascii="宋体" w:hAnsi="宋体" w:cs="宋体"/>
          <w:sz w:val="21"/>
          <w:szCs w:val="21"/>
          <w:lang w:val="en-US" w:eastAsia="zh-CN"/>
        </w:rPr>
        <w:t>解决办法：①</w:t>
      </w:r>
      <w:r>
        <w:rPr>
          <w:rFonts w:hint="eastAsia" w:ascii="宋体" w:hAnsi="宋体" w:cs="宋体"/>
          <w:b/>
          <w:bCs/>
          <w:sz w:val="21"/>
          <w:szCs w:val="21"/>
          <w:lang w:val="en-US" w:eastAsia="zh-CN"/>
        </w:rPr>
        <w:t>调整图片大小，图片宽度建议不超过‌14厘米‌，调整后将显示正常</w:t>
      </w:r>
      <w:r>
        <w:rPr>
          <w:rFonts w:hint="eastAsia" w:ascii="宋体" w:hAnsi="宋体" w:cs="宋体"/>
          <w:sz w:val="21"/>
          <w:szCs w:val="21"/>
          <w:lang w:val="en-US" w:eastAsia="zh-CN"/>
        </w:rPr>
        <w:t>。②如属于段落问题，选中段落先去清除格式，可按照中文字体为宋体，西文字体为Times New Roman，小四号，大纲级别正文文本，两端对齐，首行缩进2字符，段前0行，段后0行，1.5倍行距的方式调整。</w:t>
      </w:r>
    </w:p>
    <w:p w14:paraId="22B43D9F">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eastAsia" w:ascii="Times New Roman" w:hAnsi="Times New Roman" w:cs="宋体"/>
          <w:color w:val="000000"/>
          <w:kern w:val="0"/>
          <w:lang w:val="en-US" w:eastAsia="zh-CN" w:bidi="ar"/>
        </w:rPr>
      </w:pPr>
      <w:r>
        <w:rPr>
          <w:rFonts w:hint="eastAsia" w:ascii="宋体" w:hAnsi="宋体" w:cs="宋体"/>
          <w:sz w:val="21"/>
          <w:szCs w:val="21"/>
          <w:lang w:val="en-US" w:eastAsia="zh-CN"/>
        </w:rPr>
        <w:t>调整后显示正常：</w:t>
      </w:r>
    </w:p>
    <w:p w14:paraId="1A52AFAD">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both"/>
        <w:textAlignment w:val="auto"/>
        <w:rPr>
          <w:rFonts w:hint="eastAsia" w:ascii="Times New Roman" w:hAnsi="Times New Roman" w:cs="宋体"/>
          <w:color w:val="000000"/>
          <w:kern w:val="0"/>
          <w:lang w:val="en-US" w:eastAsia="zh-CN" w:bidi="ar"/>
        </w:rPr>
      </w:pPr>
      <w:r>
        <w:rPr>
          <w:rFonts w:hint="eastAsia" w:ascii="Times New Roman" w:hAnsi="Times New Roman" w:cs="宋体"/>
          <w:color w:val="000000"/>
          <w:kern w:val="0"/>
          <w:lang w:val="en-US" w:eastAsia="zh-CN" w:bidi="ar"/>
        </w:rPr>
        <w:drawing>
          <wp:inline distT="0" distB="0" distL="114300" distR="114300">
            <wp:extent cx="5267960" cy="3128645"/>
            <wp:effectExtent l="9525" t="9525" r="18415" b="24130"/>
            <wp:docPr id="2" name="图片 2" descr="培养手册_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培养手册_09(2)"/>
                    <pic:cNvPicPr>
                      <a:picLocks noChangeAspect="1"/>
                    </pic:cNvPicPr>
                  </pic:nvPicPr>
                  <pic:blipFill>
                    <a:blip r:embed="rId5"/>
                    <a:srcRect b="58018"/>
                    <a:stretch>
                      <a:fillRect/>
                    </a:stretch>
                  </pic:blipFill>
                  <pic:spPr>
                    <a:xfrm>
                      <a:off x="0" y="0"/>
                      <a:ext cx="5267960" cy="3128645"/>
                    </a:xfrm>
                    <a:prstGeom prst="rect">
                      <a:avLst/>
                    </a:prstGeom>
                    <a:noFill/>
                    <a:ln w="9525" cap="flat" cmpd="sng">
                      <a:solidFill>
                        <a:srgbClr val="0000FF"/>
                      </a:solidFill>
                      <a:prstDash val="solid"/>
                      <a:round/>
                      <a:headEnd type="none" w="med" len="med"/>
                      <a:tailEnd type="none" w="med" len="med"/>
                    </a:ln>
                  </pic:spPr>
                </pic:pic>
              </a:graphicData>
            </a:graphic>
          </wp:inline>
        </w:drawing>
      </w:r>
    </w:p>
    <w:p w14:paraId="3492D01C">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图</w:t>
      </w:r>
      <w:r>
        <w:rPr>
          <w:rFonts w:hint="eastAsia" w:ascii="Times New Roman" w:hAnsi="Times New Roman" w:cs="Times New Roman"/>
          <w:b/>
          <w:bCs/>
          <w:sz w:val="21"/>
          <w:szCs w:val="21"/>
          <w:lang w:val="en-US" w:eastAsia="zh-CN"/>
        </w:rPr>
        <w:t>2</w:t>
      </w:r>
      <w:r>
        <w:rPr>
          <w:rFonts w:hint="default" w:ascii="Times New Roman" w:hAnsi="Times New Roman" w:cs="Times New Roman"/>
          <w:b/>
          <w:bCs/>
          <w:sz w:val="21"/>
          <w:szCs w:val="21"/>
          <w:lang w:val="en-US" w:eastAsia="zh-CN"/>
        </w:rPr>
        <w:t xml:space="preserve"> </w:t>
      </w:r>
      <w:r>
        <w:rPr>
          <w:rFonts w:hint="eastAsia" w:ascii="Times New Roman" w:hAnsi="Times New Roman" w:cs="Times New Roman"/>
          <w:b/>
          <w:bCs/>
          <w:sz w:val="21"/>
          <w:szCs w:val="21"/>
          <w:lang w:val="en-US" w:eastAsia="zh-CN"/>
        </w:rPr>
        <w:t>调整图片大小或段落格式后显示</w:t>
      </w:r>
    </w:p>
    <w:p w14:paraId="0BDA9A4E">
      <w:pPr>
        <w:rPr>
          <w:rFonts w:hint="default" w:ascii="Times New Roman" w:hAnsi="Times New Roman" w:cs="宋体"/>
          <w:color w:val="000000"/>
          <w:kern w:val="0"/>
          <w:lang w:val="en-US" w:eastAsia="zh-CN" w:bidi="ar"/>
        </w:rPr>
      </w:pPr>
      <w:r>
        <w:rPr>
          <w:rFonts w:hint="default" w:ascii="Times New Roman" w:hAnsi="Times New Roman" w:cs="宋体"/>
          <w:color w:val="000000"/>
          <w:kern w:val="0"/>
          <w:lang w:val="en-US" w:eastAsia="zh-CN" w:bidi="ar"/>
        </w:rPr>
        <w:br w:type="page"/>
      </w:r>
    </w:p>
    <w:p w14:paraId="71C3839C">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textAlignment w:val="auto"/>
        <w:rPr>
          <w:rFonts w:hint="default" w:ascii="宋体" w:hAnsi="宋体" w:cs="宋体"/>
          <w:sz w:val="21"/>
          <w:szCs w:val="21"/>
          <w:lang w:val="en-US" w:eastAsia="zh-CN"/>
        </w:rPr>
      </w:pPr>
      <w:r>
        <w:rPr>
          <w:rFonts w:hint="eastAsia" w:ascii="宋体" w:hAnsi="宋体" w:cs="宋体"/>
          <w:sz w:val="24"/>
          <w:szCs w:val="24"/>
          <w:lang w:val="en-US" w:eastAsia="zh-CN"/>
        </w:rPr>
        <w:t>常见问题举例2——表格显示不全、表格丢失：</w:t>
      </w:r>
    </w:p>
    <w:p w14:paraId="4CDCC1A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eastAsia" w:ascii="宋体" w:hAnsi="宋体" w:cs="宋体"/>
          <w:sz w:val="21"/>
          <w:szCs w:val="21"/>
          <w:lang w:val="en-US" w:eastAsia="zh-CN"/>
        </w:rPr>
      </w:pPr>
      <w:r>
        <w:rPr>
          <w:rFonts w:hint="eastAsia" w:ascii="宋体" w:hAnsi="宋体" w:cs="宋体"/>
          <w:sz w:val="21"/>
          <w:szCs w:val="21"/>
          <w:lang w:val="en-US" w:eastAsia="zh-CN"/>
        </w:rPr>
        <w:t>如出现表格显示异常问题，可删除后重新添加。表格在管理系统的富文本框中显示正常（图3）：</w:t>
      </w:r>
    </w:p>
    <w:p w14:paraId="17F885A7">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textAlignment w:val="auto"/>
      </w:pPr>
      <w:r>
        <w:drawing>
          <wp:inline distT="0" distB="0" distL="114300" distR="114300">
            <wp:extent cx="5270500" cy="2756535"/>
            <wp:effectExtent l="9525" t="9525" r="15875"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5270500" cy="2756535"/>
                    </a:xfrm>
                    <a:prstGeom prst="rect">
                      <a:avLst/>
                    </a:prstGeom>
                    <a:noFill/>
                    <a:ln w="9525" cap="flat" cmpd="sng">
                      <a:solidFill>
                        <a:srgbClr val="0000FF"/>
                      </a:solidFill>
                      <a:prstDash val="solid"/>
                      <a:round/>
                      <a:headEnd type="none" w="med" len="med"/>
                      <a:tailEnd type="none" w="med" len="med"/>
                    </a:ln>
                  </pic:spPr>
                </pic:pic>
              </a:graphicData>
            </a:graphic>
          </wp:inline>
        </w:drawing>
      </w:r>
    </w:p>
    <w:p w14:paraId="02D10E9D">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b/>
          <w:bCs/>
          <w:sz w:val="21"/>
          <w:szCs w:val="21"/>
          <w:lang w:val="en-US" w:eastAsia="zh-CN"/>
        </w:rPr>
      </w:pPr>
      <w:r>
        <w:rPr>
          <w:rFonts w:hint="eastAsia" w:ascii="Times New Roman" w:hAnsi="Times New Roman" w:cs="Times New Roman"/>
          <w:b/>
          <w:bCs/>
          <w:sz w:val="21"/>
          <w:szCs w:val="21"/>
          <w:lang w:val="en-US" w:eastAsia="zh-CN"/>
        </w:rPr>
        <w:t>图3 富文本框表格问题示例</w:t>
      </w:r>
    </w:p>
    <w:p w14:paraId="42B90561">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eastAsia"/>
          <w:lang w:val="en-US" w:eastAsia="zh-CN"/>
        </w:rPr>
      </w:pPr>
      <w:r>
        <w:rPr>
          <w:rFonts w:hint="eastAsia"/>
          <w:lang w:val="en-US" w:eastAsia="zh-CN"/>
        </w:rPr>
        <w:t>但是，导出的培养手册出现了表格丢失的情况：</w:t>
      </w:r>
    </w:p>
    <w:p w14:paraId="3E6C412D">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textAlignment w:val="auto"/>
        <w:rPr>
          <w:rFonts w:hint="default"/>
          <w:lang w:val="en-US" w:eastAsia="zh-CN"/>
        </w:rPr>
      </w:pPr>
      <w:r>
        <w:drawing>
          <wp:inline distT="0" distB="0" distL="114300" distR="114300">
            <wp:extent cx="5267960" cy="2219960"/>
            <wp:effectExtent l="9525" t="9525" r="18415" b="184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5267960" cy="2219960"/>
                    </a:xfrm>
                    <a:prstGeom prst="rect">
                      <a:avLst/>
                    </a:prstGeom>
                    <a:noFill/>
                    <a:ln w="9525" cap="flat" cmpd="sng">
                      <a:solidFill>
                        <a:srgbClr val="0000FF"/>
                      </a:solidFill>
                      <a:prstDash val="solid"/>
                      <a:round/>
                      <a:headEnd type="none" w="med" len="med"/>
                      <a:tailEnd type="none" w="med" len="med"/>
                    </a:ln>
                  </pic:spPr>
                </pic:pic>
              </a:graphicData>
            </a:graphic>
          </wp:inline>
        </w:drawing>
      </w:r>
    </w:p>
    <w:p w14:paraId="6676D339">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240" w:lineRule="auto"/>
        <w:jc w:val="center"/>
        <w:textAlignment w:val="auto"/>
        <w:rPr>
          <w:rFonts w:hint="default" w:ascii="Times New Roman" w:hAnsi="Times New Roman" w:cs="Times New Roman"/>
          <w:b/>
          <w:bCs/>
          <w:sz w:val="21"/>
          <w:szCs w:val="21"/>
          <w:lang w:val="en-US" w:eastAsia="zh-CN"/>
        </w:rPr>
      </w:pPr>
      <w:r>
        <w:rPr>
          <w:rFonts w:hint="eastAsia" w:ascii="Times New Roman" w:hAnsi="Times New Roman" w:cs="Times New Roman"/>
          <w:b/>
          <w:bCs/>
          <w:sz w:val="21"/>
          <w:szCs w:val="21"/>
          <w:lang w:val="en-US" w:eastAsia="zh-CN"/>
        </w:rPr>
        <w:t>图4 培养手册显示表格丢失</w:t>
      </w:r>
    </w:p>
    <w:p w14:paraId="06949FF8">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eastAsia="宋体"/>
          <w:lang w:val="en-US" w:eastAsia="zh-CN"/>
        </w:rPr>
      </w:pPr>
      <w:r>
        <w:rPr>
          <w:rFonts w:hint="eastAsia"/>
          <w:lang w:val="en-US" w:eastAsia="zh-CN"/>
        </w:rPr>
        <w:t>出现此类问题，可以将乱码的表格内容删除，将原表格复制到培养手册中。</w:t>
      </w:r>
    </w:p>
    <w:p w14:paraId="03699DAC">
      <w:pPr>
        <w:rPr>
          <w:rFonts w:hint="eastAsia" w:ascii="黑体" w:hAnsi="黑体" w:eastAsia="黑体" w:cs="黑体"/>
          <w:b w:val="0"/>
          <w:bCs w:val="0"/>
          <w:kern w:val="2"/>
          <w:sz w:val="24"/>
          <w:szCs w:val="24"/>
          <w:lang w:val="en-US" w:eastAsia="zh-CN" w:bidi="ar-SA"/>
        </w:rPr>
      </w:pPr>
      <w:r>
        <w:rPr>
          <w:rFonts w:hint="eastAsia" w:ascii="黑体" w:hAnsi="黑体" w:eastAsia="黑体" w:cs="黑体"/>
          <w:b w:val="0"/>
          <w:bCs w:val="0"/>
          <w:kern w:val="2"/>
          <w:sz w:val="24"/>
          <w:szCs w:val="24"/>
          <w:lang w:val="en-US" w:eastAsia="zh-CN" w:bidi="ar-SA"/>
        </w:rPr>
        <w:br w:type="page"/>
      </w:r>
    </w:p>
    <w:p w14:paraId="4DE07660">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80" w:firstLineChars="200"/>
        <w:textAlignment w:val="auto"/>
        <w:rPr>
          <w:rFonts w:hint="eastAsia" w:ascii="黑体" w:hAnsi="黑体" w:eastAsia="黑体" w:cs="黑体"/>
          <w:b w:val="0"/>
          <w:bCs w:val="0"/>
          <w:sz w:val="24"/>
          <w:szCs w:val="24"/>
          <w:lang w:val="en-US" w:eastAsia="zh-CN"/>
        </w:rPr>
      </w:pPr>
      <w:r>
        <w:rPr>
          <w:rFonts w:hint="eastAsia" w:ascii="黑体" w:hAnsi="黑体" w:eastAsia="黑体" w:cs="黑体"/>
          <w:b w:val="0"/>
          <w:bCs w:val="0"/>
          <w:kern w:val="2"/>
          <w:sz w:val="24"/>
          <w:szCs w:val="24"/>
          <w:lang w:val="en-US" w:eastAsia="zh-CN" w:bidi="ar-SA"/>
        </w:rPr>
        <w:t>3.</w:t>
      </w:r>
      <w:r>
        <w:rPr>
          <w:rFonts w:hint="eastAsia" w:ascii="黑体" w:hAnsi="黑体" w:eastAsia="黑体" w:cs="黑体"/>
          <w:b w:val="0"/>
          <w:bCs w:val="0"/>
          <w:sz w:val="24"/>
          <w:szCs w:val="24"/>
          <w:lang w:val="en-US" w:eastAsia="zh-CN"/>
        </w:rPr>
        <w:t>完成最后的检查与审核，装订完成培养手册。</w:t>
      </w:r>
    </w:p>
    <w:p w14:paraId="01803938">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textAlignment w:val="auto"/>
        <w:rPr>
          <w:rFonts w:hint="eastAsia" w:ascii="黑体" w:hAnsi="黑体" w:eastAsia="黑体" w:cs="黑体"/>
          <w:b w:val="0"/>
          <w:bCs w:val="0"/>
          <w:sz w:val="24"/>
          <w:szCs w:val="24"/>
          <w:lang w:val="en-US" w:eastAsia="zh-CN"/>
        </w:rPr>
      </w:pPr>
    </w:p>
    <w:tbl>
      <w:tblPr>
        <w:tblStyle w:val="4"/>
        <w:tblW w:w="8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8"/>
      </w:tblGrid>
      <w:tr w14:paraId="05F1E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528" w:type="dxa"/>
            <w:vAlign w:val="center"/>
          </w:tcPr>
          <w:p w14:paraId="099470AB">
            <w:pPr>
              <w:pStyle w:val="8"/>
              <w:spacing w:line="400" w:lineRule="exact"/>
              <w:rPr>
                <w:rStyle w:val="6"/>
                <w:rFonts w:hint="eastAsia" w:ascii="宋体" w:hAnsi="宋体" w:eastAsia="宋体" w:cs="宋体"/>
                <w:b/>
                <w:bCs/>
                <w:szCs w:val="21"/>
              </w:rPr>
            </w:pPr>
            <w:r>
              <w:rPr>
                <w:rStyle w:val="6"/>
                <w:rFonts w:hint="eastAsia" w:ascii="宋体" w:hAnsi="宋体" w:eastAsia="宋体" w:cs="宋体"/>
                <w:b/>
                <w:bCs/>
                <w:szCs w:val="21"/>
              </w:rPr>
              <w:t>培养环节附件请按照以下顺序附在此页后，并装订成册：</w:t>
            </w:r>
          </w:p>
          <w:p w14:paraId="7266258B">
            <w:pPr>
              <w:pStyle w:val="8"/>
              <w:spacing w:line="400" w:lineRule="exact"/>
              <w:ind w:firstLine="420"/>
              <w:rPr>
                <w:rStyle w:val="6"/>
                <w:rFonts w:hint="eastAsia" w:ascii="宋体" w:hAnsi="宋体" w:eastAsia="宋体" w:cs="宋体"/>
                <w:szCs w:val="21"/>
              </w:rPr>
            </w:pPr>
            <w:r>
              <w:rPr>
                <w:rStyle w:val="6"/>
                <w:rFonts w:ascii="Wingdings 2" w:hAnsi="Wingdings 2" w:eastAsia="楷体_GB2312" w:cs="Wingdings 2"/>
              </w:rPr>
              <w:t>□</w:t>
            </w:r>
            <w:r>
              <w:rPr>
                <w:rStyle w:val="6"/>
                <w:rFonts w:hint="eastAsia" w:ascii="宋体" w:hAnsi="宋体" w:eastAsia="宋体" w:cs="宋体"/>
                <w:szCs w:val="21"/>
              </w:rPr>
              <w:t>附件1：苏州大学研究生论文开题评议表</w:t>
            </w:r>
          </w:p>
          <w:p w14:paraId="27AD969A">
            <w:pPr>
              <w:pStyle w:val="8"/>
              <w:spacing w:line="400" w:lineRule="exact"/>
              <w:ind w:firstLine="420"/>
              <w:rPr>
                <w:rStyle w:val="6"/>
                <w:rFonts w:hint="eastAsia" w:ascii="宋体" w:hAnsi="宋体" w:eastAsia="宋体" w:cs="宋体"/>
                <w:szCs w:val="21"/>
              </w:rPr>
            </w:pPr>
            <w:r>
              <w:rPr>
                <w:rStyle w:val="6"/>
                <w:rFonts w:ascii="Wingdings 2" w:hAnsi="Wingdings 2" w:eastAsia="楷体_GB2312" w:cs="Wingdings 2"/>
              </w:rPr>
              <w:t>□</w:t>
            </w:r>
            <w:r>
              <w:rPr>
                <w:rStyle w:val="6"/>
                <w:rFonts w:hint="eastAsia" w:ascii="宋体" w:hAnsi="宋体" w:eastAsia="宋体" w:cs="宋体"/>
                <w:szCs w:val="21"/>
              </w:rPr>
              <w:t>附件2：苏州大学研究生中期考核评定表</w:t>
            </w:r>
          </w:p>
          <w:p w14:paraId="647F6525">
            <w:pPr>
              <w:pStyle w:val="8"/>
              <w:spacing w:line="400" w:lineRule="exact"/>
              <w:ind w:firstLine="420"/>
              <w:rPr>
                <w:rStyle w:val="6"/>
                <w:rFonts w:ascii="宋体" w:hAnsi="宋体" w:eastAsia="宋体" w:cs="宋体"/>
                <w:szCs w:val="21"/>
              </w:rPr>
            </w:pPr>
            <w:r>
              <w:rPr>
                <w:rStyle w:val="6"/>
                <w:rFonts w:ascii="Wingdings 2" w:hAnsi="Wingdings 2" w:eastAsia="楷体_GB2312" w:cs="Wingdings 2"/>
              </w:rPr>
              <w:t>□</w:t>
            </w:r>
            <w:r>
              <w:rPr>
                <w:rStyle w:val="6"/>
                <w:rFonts w:hint="eastAsia" w:ascii="宋体" w:hAnsi="宋体" w:eastAsia="宋体" w:cs="宋体"/>
                <w:szCs w:val="21"/>
              </w:rPr>
              <w:t>附件3：苏州大学研究生专业实践考核表</w:t>
            </w:r>
          </w:p>
          <w:p w14:paraId="03A31A16">
            <w:pPr>
              <w:pStyle w:val="8"/>
              <w:spacing w:line="400" w:lineRule="exact"/>
              <w:ind w:firstLine="420"/>
              <w:rPr>
                <w:rStyle w:val="6"/>
                <w:rFonts w:ascii="宋体" w:hAnsi="宋体" w:eastAsia="宋体" w:cs="宋体"/>
                <w:szCs w:val="21"/>
              </w:rPr>
            </w:pPr>
            <w:r>
              <w:rPr>
                <w:rStyle w:val="6"/>
                <w:rFonts w:ascii="Wingdings 2" w:hAnsi="Wingdings 2" w:eastAsia="楷体_GB2312" w:cs="Wingdings 2"/>
              </w:rPr>
              <w:t>□</w:t>
            </w:r>
            <w:r>
              <w:rPr>
                <w:rStyle w:val="6"/>
                <w:rFonts w:hint="eastAsia" w:ascii="宋体" w:hAnsi="宋体" w:eastAsia="宋体" w:cs="宋体"/>
                <w:szCs w:val="21"/>
              </w:rPr>
              <w:t>附件4：苏州大学研究生成绩单</w:t>
            </w:r>
          </w:p>
        </w:tc>
      </w:tr>
    </w:tbl>
    <w:p w14:paraId="22E85412">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eastAsia"/>
          <w:lang w:val="en-US" w:eastAsia="zh-CN"/>
        </w:rPr>
      </w:pPr>
      <w:r>
        <w:rPr>
          <w:rFonts w:hint="eastAsia"/>
          <w:lang w:val="en-US" w:eastAsia="zh-CN"/>
        </w:rPr>
        <w:t>说明：附件1-3均为重新设计的新表格，可在管理系统的对应环节自行下载，也可在研究生院官网—质量监督—培养过程监督一栏下载，附件4成绩单请按照学院要求自行添加。</w:t>
      </w:r>
    </w:p>
    <w:p w14:paraId="686CD614">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2" w:firstLineChars="200"/>
        <w:textAlignment w:val="auto"/>
        <w:rPr>
          <w:rFonts w:hint="eastAsia"/>
          <w:lang w:val="en-US" w:eastAsia="zh-CN"/>
        </w:rPr>
      </w:pPr>
      <w:r>
        <w:rPr>
          <w:rFonts w:hint="eastAsia"/>
          <w:b/>
          <w:bCs/>
          <w:color w:val="FF0000"/>
          <w:lang w:val="en-US" w:eastAsia="zh-CN"/>
        </w:rPr>
        <w:t>已完成开题、中期、预答辩或专业实践的研究生，可将带有导师、专家组成员签字的决议内容页作为附件对应附在检查与审核后面（其他基本内容页无需附上）</w:t>
      </w:r>
      <w:r>
        <w:rPr>
          <w:rFonts w:hint="eastAsia"/>
          <w:lang w:val="en-US" w:eastAsia="zh-CN"/>
        </w:rPr>
        <w:t>，装订成册即可。</w:t>
      </w:r>
    </w:p>
    <w:p w14:paraId="7ADB0E52">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lang w:val="en-US" w:eastAsia="zh-CN"/>
        </w:rPr>
      </w:pPr>
      <w:r>
        <w:rPr>
          <w:rFonts w:hint="eastAsia"/>
          <w:lang w:val="en-US" w:eastAsia="zh-CN"/>
        </w:rPr>
        <w:t>已完成部分开题、中期等前端环节，如使用了之前的决议表格，无需重新整理。后续的培养环节建议选择管理系统中的新表格，自然过渡到最后的培养手册装订阶段。</w:t>
      </w:r>
    </w:p>
    <w:p w14:paraId="0C6A2955">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80" w:firstLineChars="200"/>
        <w:textAlignment w:val="auto"/>
        <w:rPr>
          <w:rFonts w:hint="eastAsia" w:ascii="黑体" w:hAnsi="黑体" w:eastAsia="黑体" w:cs="黑体"/>
          <w:b w:val="0"/>
          <w:bCs w:val="0"/>
          <w:kern w:val="2"/>
          <w:sz w:val="24"/>
          <w:szCs w:val="24"/>
          <w:lang w:val="en-US" w:eastAsia="zh-CN" w:bidi="ar-SA"/>
        </w:rPr>
      </w:pPr>
      <w:r>
        <w:rPr>
          <w:rFonts w:hint="eastAsia" w:ascii="黑体" w:hAnsi="黑体" w:eastAsia="黑体" w:cs="黑体"/>
          <w:b w:val="0"/>
          <w:bCs w:val="0"/>
          <w:kern w:val="2"/>
          <w:sz w:val="24"/>
          <w:szCs w:val="24"/>
          <w:lang w:val="en-US" w:eastAsia="zh-CN" w:bidi="ar-SA"/>
        </w:rPr>
        <w:t>4.各基层研究生培养单位接收人提交前检查</w:t>
      </w:r>
    </w:p>
    <w:p w14:paraId="70CAC8B6">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400" w:lineRule="exact"/>
        <w:ind w:firstLine="420" w:firstLineChars="200"/>
        <w:textAlignment w:val="auto"/>
        <w:rPr>
          <w:rFonts w:hint="default"/>
          <w:lang w:val="en-US" w:eastAsia="zh-CN"/>
        </w:rPr>
      </w:pPr>
      <w:r>
        <w:rPr>
          <w:rFonts w:hint="eastAsia" w:eastAsia="宋体" w:cs="Times New Roman"/>
          <w:lang w:val="en-US" w:eastAsia="zh-CN"/>
        </w:rPr>
        <w:t>检查培养手册及附件材料的完整度，勾选对应表格选项框，检查研究生及导师签字情况及整体材料的装订质量。</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Wingdings 2">
    <w:panose1 w:val="05020102010507070707"/>
    <w:charset w:val="00"/>
    <w:family w:val="auto"/>
    <w:pitch w:val="default"/>
    <w:sig w:usb0="00000000" w:usb1="00000000" w:usb2="00000000" w:usb3="00000000" w:csb0="80000000" w:csb1="00000000"/>
  </w:font>
  <w:font w:name="楷体_GB2312">
    <w:altName w:val="楷体"/>
    <w:panose1 w:val="00000000000000000000"/>
    <w:charset w:val="00"/>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DC8009F"/>
    <w:rsid w:val="12071515"/>
    <w:rsid w:val="238241FC"/>
    <w:rsid w:val="24476523"/>
    <w:rsid w:val="27700540"/>
    <w:rsid w:val="29516643"/>
    <w:rsid w:val="2B3E3378"/>
    <w:rsid w:val="2C6C4F60"/>
    <w:rsid w:val="3B5020C2"/>
    <w:rsid w:val="3DC8009F"/>
    <w:rsid w:val="4508410A"/>
    <w:rsid w:val="599C7738"/>
    <w:rsid w:val="73FF440B"/>
    <w:rsid w:val="77497D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character" w:default="1" w:styleId="6">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iPriority w:val="0"/>
    <w:rPr>
      <w:sz w:val="24"/>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
    <w:name w:val="正文_0_4"/>
    <w:qFormat/>
    <w:uiPriority w:val="0"/>
    <w:pPr>
      <w:widowControl w:val="0"/>
      <w:jc w:val="both"/>
    </w:pPr>
    <w:rPr>
      <w:rFonts w:ascii="Times New Roman" w:hAnsi="Times New Roman" w:eastAsia="Times New Roman" w:cs="Times New Roman"/>
      <w:kern w:val="2"/>
      <w:sz w:val="21"/>
      <w:szCs w:val="24"/>
      <w:lang w:val="en-US" w:eastAsia="zh-CN" w:bidi="ar-SA"/>
    </w:rPr>
  </w:style>
  <w:style w:type="paragraph" w:customStyle="1" w:styleId="8">
    <w:name w:val="正文_4"/>
    <w:qFormat/>
    <w:uiPriority w:val="0"/>
    <w:pPr>
      <w:widowControl w:val="0"/>
      <w:jc w:val="both"/>
    </w:pPr>
    <w:rPr>
      <w:rFonts w:ascii="Times New Roman" w:hAnsi="Times New Roman" w:eastAsia="Times New Roman"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ntractReview xmlns="http://schemas.wps.cn/vas-ai-hub/contract-review">
  <reviewItems>
    <reviewItem>
      <errorID>2f6baf02-e4ac-40ec-8c8d-f730e656702f</errorID>
      <errorWord>究</errorWord>
      <group>L1_Word</group>
      <groupName>字词问题</groupName>
      <ability>L2_Typo</ability>
      <abilityName>字词错误</abilityName>
      <candidateList>
        <item>究生</item>
      </candidateList>
      <explain/>
      <paraID>2D2E60E1</paraID>
      <start>44</start>
      <end>45</end>
      <status>ignored</status>
      <modifiedWord/>
      <trackRevisions>false</trackRevisions>
    </reviewItem>
    <reviewItem>
      <errorID>4a684bb9-c239-4a04-ac93-2b11872520c4</errorID>
      <errorWord>需</errorWord>
      <group>L1_Word</group>
      <groupName>字词问题</groupName>
      <ability>L2_Typo</ability>
      <abilityName>字词错误</abilityName>
      <candidateList>
        <item>需要</item>
      </candidateList>
      <explain>❶〈动〉应该有或必须有：我们～一支强大的科学技术队伍。❷〈名〉对事物的欲望或要求：从群众的～出发。</explain>
      <paraID>4633F5F2</paraID>
      <start>29</start>
      <end>30</end>
      <status>ignored</status>
      <modifiedWord/>
      <trackRevisions>false</trackRevisions>
    </reviewItem>
  </reviewItems>
  <config/>
</contractReview>
</file>

<file path=customXml/itemProps1.xml><?xml version="1.0" encoding="utf-8"?>
<ds:datastoreItem xmlns:ds="http://schemas.openxmlformats.org/officeDocument/2006/customXml" ds:itemID="{ba72cf7e-38da-4ac5-a672-a3aae16eaf90}">
  <ds:schemaRefs/>
</ds:datastoreItem>
</file>

<file path=docProps/app.xml><?xml version="1.0" encoding="utf-8"?>
<Properties xmlns="http://schemas.openxmlformats.org/officeDocument/2006/extended-properties" xmlns:vt="http://schemas.openxmlformats.org/officeDocument/2006/docPropsVTypes">
  <Template>Normal.dotm</Template>
  <Pages>5</Pages>
  <Words>2308</Words>
  <Characters>2356</Characters>
  <Lines>0</Lines>
  <Paragraphs>0</Paragraphs>
  <TotalTime>1</TotalTime>
  <ScaleCrop>false</ScaleCrop>
  <LinksUpToDate>false</LinksUpToDate>
  <CharactersWithSpaces>2363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2026-01-07T07:16:00Z</dcterms:created>
  <dc:creator>Think</dc:creator>
  <cp:lastModifiedBy>YQQ</cp:lastModifiedBy>
  <dcterms:modified xsi:type="dcterms:W3CDTF">2026-01-16T03:12:57Z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05B1B5ED5211425DA6D81A06562F2AA6_11</vt:lpwstr>
  </property>
  <property fmtid="{D5CDD505-2E9C-101B-9397-08002B2CF9AE}" pid="4" name="KSOTemplateDocerSaveRecord">
    <vt:lpwstr>eyJoZGlkIjoiNzgxOGNiNjY4OTNjYWZmZjczZjhlNDJhNzk0YmM0NTUiLCJ1c2VySWQiOiIyNTUyNjY4MDIifQ==</vt:lpwstr>
  </property>
</Properties>
</file>